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5a00c303276bdd8b99cb35935e913c54c6f41dc"/>
    <w:p>
      <w:pPr>
        <w:pStyle w:val="Heading2"/>
      </w:pPr>
      <w:r>
        <w:t xml:space="preserve">Ex.mo Sr. Juiz de Direito da Vara de Família e Menores de Lisboa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</w:t>
      </w:r>
    </w:p>
    <w:bookmarkStart w:id="9" w:name="X7b851892f9a8fe5660f29d5ca348a6b6f22a851"/>
    <w:p>
      <w:pPr>
        <w:pStyle w:val="Heading3"/>
      </w:pPr>
      <w:r>
        <w:t xml:space="preserve">Requerimento de Acesso a Registos Digitais da Associação</w:t>
      </w:r>
    </w:p>
    <w:p>
      <w:pPr>
        <w:pStyle w:val="FirstParagraph"/>
      </w:pPr>
      <w:r>
        <w:rPr>
          <w:b/>
          <w:bCs/>
        </w:rPr>
        <w:t xml:space="preserve">Requerente:</w:t>
      </w:r>
      <w:r>
        <w:t xml:space="preserve"> </w:t>
      </w:r>
      <w:r>
        <w:t xml:space="preserve">João Silva, menor, representado por Maria Silva, residente em Rua da Alegria, 45, 1.º Esq., 1150‑123 Lisboa, NIF 123 456 789.</w:t>
      </w:r>
    </w:p>
    <w:p>
      <w:pPr>
        <w:pStyle w:val="BodyText"/>
      </w:pPr>
      <w:r>
        <w:rPr>
          <w:b/>
          <w:bCs/>
        </w:rPr>
        <w:t xml:space="preserve">Réus: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sede em Avenida da Liberdade, 200, 2.º Direito, 1250‑147 Lisboa, NIF 112 233 445.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ex‑diretor da referida associação, residente em Rua de São Bento, 78, 3.º Esq., 1200‑345 Lisboa, NIF 556 677 889.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Luís Costa (OAB/​Lisboa 12345) e Dra. Sofia Almeida (OAB/​Lisboa 67890), com escritório em Rua das Flores, 12, 3.º Esq., 1000‑200 Lisboa.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Dr. António Ribeiro</w:t>
      </w:r>
    </w:p>
    <w:p>
      <w:pPr>
        <w:pStyle w:val="BodyText"/>
      </w:pPr>
      <w:r>
        <w:t xml:space="preserve">Lisboa, 20 de fevereiro de 2026</w:t>
      </w:r>
    </w:p>
    <w:p>
      <w:r>
        <w:pict>
          <v:rect style="width:0;height:1.5pt" o:hralign="center" o:hrstd="t" o:hr="t"/>
        </w:pict>
      </w:r>
    </w:p>
    <w:bookmarkEnd w:id="9"/>
    <w:bookmarkStart w:id="10" w:name="i.-fundamentação-jurídica"/>
    <w:p>
      <w:pPr>
        <w:pStyle w:val="Heading3"/>
      </w:pPr>
      <w:r>
        <w:t xml:space="preserve">I. Fundamentação Jurídica</w:t>
      </w:r>
    </w:p>
    <w:p>
      <w:pPr>
        <w:numPr>
          <w:ilvl w:val="0"/>
          <w:numId w:val="1001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22.º e seguintes do Código de Processo Civil</w:t>
      </w:r>
      <w:r>
        <w:t xml:space="preserve"> </w:t>
      </w:r>
      <w:r>
        <w:t xml:space="preserve">(CPC), bem como do</w:t>
      </w:r>
      <w:r>
        <w:t xml:space="preserve"> </w:t>
      </w:r>
      <w:r>
        <w:rPr>
          <w:b/>
          <w:bCs/>
        </w:rPr>
        <w:t xml:space="preserve">artigo 7.º da Lei n.º 67/98, de 26 de outubro, que regula a proteção de menores</w:t>
      </w:r>
      <w:r>
        <w:t xml:space="preserve">, o tribunal pode autorizar a prática de atos de produção de prova que se revelem imprescindíveis à descoberta da verdade e à tutela dos direitos do menor.</w:t>
      </w:r>
    </w:p>
    <w:p>
      <w:pPr>
        <w:numPr>
          <w:ilvl w:val="0"/>
          <w:numId w:val="1001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4.º.º da Lei n.º 83/2017, de 18 de agosto</w:t>
      </w:r>
      <w:r>
        <w:t xml:space="preserve">, que regula a proteção de dados pessoais, permite o tratamento de dados sensíveis quando necessário para o exercício de direitos de defesa ou para a proteção da integridade física e psicológica de menores, desde que garantidos os princípios da proporcionalidade e da necessidade.</w:t>
      </w:r>
    </w:p>
    <w:p>
      <w:pPr>
        <w:numPr>
          <w:ilvl w:val="0"/>
          <w:numId w:val="1001"/>
        </w:numPr>
      </w:pPr>
      <w:r>
        <w:t xml:space="preserve">O requerente alega que 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 </w:t>
      </w:r>
      <w:r>
        <w:t xml:space="preserve">e o seu ex‑diretor, Carlos Mendes, mantiveram um padrão de abuso sexual continuado de menores entre 2015 e 2020, bem como falharam na obrigação legal de vigilância e proteção. Para comprovar a veracidade dos factos alegados e identificar eventual responsabilidade penal e civil, se faz imprescindível o acesso a</w:t>
      </w:r>
      <w:r>
        <w:t xml:space="preserve"> </w:t>
      </w:r>
      <w:r>
        <w:rPr>
          <w:b/>
          <w:bCs/>
        </w:rPr>
        <w:t xml:space="preserve">registos digitais</w:t>
      </w:r>
      <w:r>
        <w:t xml:space="preserve"> </w:t>
      </w:r>
      <w:r>
        <w:t xml:space="preserve">que contenham informação sobre o acesso a instalações, comunicação interna e gravações de vídeo‑surveillance.</w:t>
      </w:r>
    </w:p>
    <w:p>
      <w:pPr>
        <w:numPr>
          <w:ilvl w:val="0"/>
          <w:numId w:val="1001"/>
        </w:numPr>
      </w:pPr>
      <w:r>
        <w:t xml:space="preserve">A jurisprudência do Tribunal da Relação de Lisboa (Processo n.º 1123/19.5T8LSB, 12 de março de 2020) reconhece a admissibilidade de</w:t>
      </w:r>
      <w:r>
        <w:t xml:space="preserve"> </w:t>
      </w:r>
      <w:r>
        <w:rPr>
          <w:b/>
          <w:bCs/>
        </w:rPr>
        <w:t xml:space="preserve">logs de acesso a sistemas informáticos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e‑mails corporativos</w:t>
      </w:r>
      <w:r>
        <w:t xml:space="preserve"> </w:t>
      </w:r>
      <w:r>
        <w:t xml:space="preserve">como prova documental em processos que versam sobre abuso de menores, desde que observados os requisitos de confidencialidade e proteção de dados.</w:t>
      </w:r>
    </w:p>
    <w:bookmarkEnd w:id="10"/>
    <w:bookmarkStart w:id="11" w:name="ii.-objetivo-do-requerimento"/>
    <w:p>
      <w:pPr>
        <w:pStyle w:val="Heading3"/>
      </w:pPr>
      <w:r>
        <w:t xml:space="preserve">II. Objetivo do Requerimento</w:t>
      </w:r>
    </w:p>
    <w:p>
      <w:pPr>
        <w:pStyle w:val="FirstParagraph"/>
      </w:pPr>
      <w:r>
        <w:t xml:space="preserve">Solicita‑se a V. Exa. que</w:t>
      </w:r>
      <w:r>
        <w:t xml:space="preserve"> </w:t>
      </w:r>
      <w:r>
        <w:rPr>
          <w:b/>
          <w:bCs/>
        </w:rPr>
        <w:t xml:space="preserve">autorize a produção e entrega ao requerente, mediante a designação de perito informático</w:t>
      </w:r>
      <w:r>
        <w:t xml:space="preserve">, dos seguintes registos digitais da Associação Casa da Juventude, Lda.: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77"/>
        <w:gridCol w:w="2137"/>
        <w:gridCol w:w="2388"/>
        <w:gridCol w:w="301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Tipo de Registo</w:t>
            </w:r>
          </w:p>
        </w:tc>
        <w:tc>
          <w:tcPr/>
          <w:p>
            <w:pPr>
              <w:pStyle w:val="Compact"/>
            </w:pPr>
            <w:r>
              <w:t xml:space="preserve">Período Relevante</w:t>
            </w:r>
          </w:p>
        </w:tc>
        <w:tc>
          <w:tcPr/>
          <w:p>
            <w:pPr>
              <w:pStyle w:val="Compact"/>
            </w:pPr>
            <w:r>
              <w:t xml:space="preserve">Finalidade da Produção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Logs de acesso a sistemas informáticos</w:t>
            </w:r>
            <w:r>
              <w:t xml:space="preserve"> </w:t>
            </w:r>
            <w:r>
              <w:t xml:space="preserve">(incluindo servidores de ficheiros, bases de dados e aplicações internas)</w:t>
            </w:r>
          </w:p>
        </w:tc>
        <w:tc>
          <w:tcPr/>
          <w:p>
            <w:pPr>
              <w:pStyle w:val="Compact"/>
            </w:pPr>
            <w:r>
              <w:t xml:space="preserve">01/01/2015 a 31/12/2020</w:t>
            </w:r>
          </w:p>
        </w:tc>
        <w:tc>
          <w:tcPr/>
          <w:p>
            <w:pPr>
              <w:pStyle w:val="Compact"/>
            </w:pPr>
            <w:r>
              <w:t xml:space="preserve">Verificar quem acedeu a documentos relativos a menores e a que horas.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Registos de câmaras de segurança (CCTV)</w:t>
            </w:r>
            <w:r>
              <w:t xml:space="preserve"> </w:t>
            </w:r>
            <w:r>
              <w:t xml:space="preserve">instaladas nas áreas de acolhimento e nos espaços de convívio</w:t>
            </w:r>
          </w:p>
        </w:tc>
        <w:tc>
          <w:tcPr/>
          <w:p>
            <w:pPr>
              <w:pStyle w:val="Compact"/>
            </w:pPr>
            <w:r>
              <w:t xml:space="preserve">01/01/2015 a 31/12/2020</w:t>
            </w:r>
          </w:p>
        </w:tc>
        <w:tc>
          <w:tcPr/>
          <w:p>
            <w:pPr>
              <w:pStyle w:val="Compact"/>
            </w:pPr>
            <w:r>
              <w:t xml:space="preserve">Corroborar a presença física dos acusados e das vítimas nas datas alegadas.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E‑mails corporativos</w:t>
            </w:r>
            <w:r>
              <w:t xml:space="preserve"> </w:t>
            </w:r>
            <w:r>
              <w:t xml:space="preserve">(incluindo contas institucionais de Carlos Mendes e demais responsáveis)</w:t>
            </w:r>
          </w:p>
        </w:tc>
        <w:tc>
          <w:tcPr/>
          <w:p>
            <w:pPr>
              <w:pStyle w:val="Compact"/>
            </w:pPr>
            <w:r>
              <w:t xml:space="preserve">01/01/2015 a 31/12/2020</w:t>
            </w:r>
          </w:p>
        </w:tc>
        <w:tc>
          <w:tcPr/>
          <w:p>
            <w:pPr>
              <w:pStyle w:val="Compact"/>
            </w:pPr>
            <w:r>
              <w:t xml:space="preserve">Identificar comunicações que revelem conhecimento ou encobrimento dos abusos.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Registos de telemetria de dispositivos móveis</w:t>
            </w:r>
            <w:r>
              <w:t xml:space="preserve"> </w:t>
            </w:r>
            <w:r>
              <w:t xml:space="preserve">(smartphones e tablets fornecidos pela associação)</w:t>
            </w:r>
          </w:p>
        </w:tc>
        <w:tc>
          <w:tcPr/>
          <w:p>
            <w:pPr>
              <w:pStyle w:val="Compact"/>
            </w:pPr>
            <w:r>
              <w:t xml:space="preserve">01/01/2015 a 31/12/2020</w:t>
            </w:r>
          </w:p>
        </w:tc>
        <w:tc>
          <w:tcPr/>
          <w:p>
            <w:pPr>
              <w:pStyle w:val="Compact"/>
            </w:pPr>
            <w:r>
              <w:t xml:space="preserve">Confirmar localizações e contactos entre os acusados e as vítimas.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Back‑ups de bases de dados de registo de menores</w:t>
            </w:r>
            <w:r>
              <w:t xml:space="preserve"> </w:t>
            </w:r>
            <w:r>
              <w:t xml:space="preserve">(incluindo fichas de inscrição, relatórios de acompanhamento)</w:t>
            </w:r>
          </w:p>
        </w:tc>
        <w:tc>
          <w:tcPr/>
          <w:p>
            <w:pPr>
              <w:pStyle w:val="Compact"/>
            </w:pPr>
            <w:r>
              <w:t xml:space="preserve">01/01/2015 a 31/12/2020</w:t>
            </w:r>
          </w:p>
        </w:tc>
        <w:tc>
          <w:tcPr/>
          <w:p>
            <w:pPr>
              <w:pStyle w:val="Compact"/>
            </w:pPr>
            <w:r>
              <w:t xml:space="preserve">Verificar a existência de anotações ou omissões relevantes.</w:t>
            </w:r>
          </w:p>
        </w:tc>
      </w:tr>
    </w:tbl>
    <w:bookmarkEnd w:id="11"/>
    <w:bookmarkStart w:id="12" w:name="iii.-justificação-da-urgência"/>
    <w:p>
      <w:pPr>
        <w:pStyle w:val="Heading3"/>
      </w:pPr>
      <w:r>
        <w:t xml:space="preserve">III. Justificação da Urgência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Proteção do menor</w:t>
      </w:r>
      <w:r>
        <w:t xml:space="preserve"> </w:t>
      </w:r>
      <w:r>
        <w:t xml:space="preserve">– O acesso imediato a tais registos é essencial para garantir a segurança de João Silva e de outros menores potencialmente em risco, evitando nova prática delitiva.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Preservação da prova</w:t>
      </w:r>
      <w:r>
        <w:t xml:space="preserve"> </w:t>
      </w:r>
      <w:r>
        <w:t xml:space="preserve">– Os registos digitais são suscetíveis a alterações ou eliminação. O artigo 22.º do CPC determina que, quando houver risco de perecimento da prova, o tribunal deve ordenar a sua conservação com a maior brevidade.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Necessidade de perícia</w:t>
      </w:r>
      <w:r>
        <w:t xml:space="preserve"> </w:t>
      </w:r>
      <w:r>
        <w:t xml:space="preserve">– A complexidade técnica dos dados requer a intervenção de perito informático, cuja nomeação deve ocorrer antes da destruição ou modificação dos ficheiros.</w:t>
      </w:r>
    </w:p>
    <w:bookmarkEnd w:id="12"/>
    <w:bookmarkStart w:id="13" w:name="iv.-pedido"/>
    <w:p>
      <w:pPr>
        <w:pStyle w:val="Heading3"/>
      </w:pPr>
      <w:r>
        <w:t xml:space="preserve">IV. Pedido</w:t>
      </w:r>
    </w:p>
    <w:p>
      <w:pPr>
        <w:pStyle w:val="FirstParagraph"/>
      </w:pPr>
      <w:r>
        <w:t xml:space="preserve">Face ao exposto, requer‑se a V. Exa.: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concessão de autorização</w:t>
      </w:r>
      <w:r>
        <w:t xml:space="preserve"> </w:t>
      </w:r>
      <w:r>
        <w:t xml:space="preserve">para que a Associação Casa da Juventude, Lda. forneça, em formato original e/ou cópia autenticada, os registos enumerados na Tabela acima, no prazo máximo de</w:t>
      </w:r>
      <w:r>
        <w:t xml:space="preserve"> </w:t>
      </w:r>
      <w:r>
        <w:rPr>
          <w:b/>
          <w:bCs/>
        </w:rPr>
        <w:t xml:space="preserve">15 dias úteis</w:t>
      </w:r>
      <w:r>
        <w:t xml:space="preserve"> </w:t>
      </w:r>
      <w:r>
        <w:t xml:space="preserve">a contar da data da presente decisão.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nomeação de perito informático</w:t>
      </w:r>
      <w:r>
        <w:t xml:space="preserve"> </w:t>
      </w:r>
      <w:r>
        <w:t xml:space="preserve">(ex.: Dr. Rui Pereira, perito judicial em informática forense, NIF 224466778) para:</w:t>
      </w:r>
    </w:p>
    <w:p>
      <w:pPr>
        <w:pStyle w:val="Compact"/>
        <w:numPr>
          <w:ilvl w:val="1"/>
          <w:numId w:val="1004"/>
        </w:numPr>
      </w:pPr>
      <w:r>
        <w:t xml:space="preserve">Receber, analisar e validar a integridade dos dados entregues;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Emitir laudo pericial que será juntado aos autos;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Garantir a confidencialidade dos dados pessoais sensíveis, em conformidade com a Lei n.º 67/98.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imposição de medida cautelar</w:t>
      </w:r>
      <w:r>
        <w:t xml:space="preserve"> </w:t>
      </w:r>
      <w:r>
        <w:t xml:space="preserve">que proíba a associação de alterar, destruir ou ocultar qualquer dos registos solicitados, sob pena de coima diária a ser fixada por este tribunal.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comunicação imediata</w:t>
      </w:r>
      <w:r>
        <w:t xml:space="preserve"> </w:t>
      </w:r>
      <w:r>
        <w:t xml:space="preserve">ao Ministério Público, nos termos do artigo 25.º do CPC, para que proceda à abertura de investigação criminal, caso os documentos revelem indícios de crime de abuso sexual de menores.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condenação dos réus ao pagamento das custas processuais e dos honorários periciais</w:t>
      </w:r>
      <w:r>
        <w:t xml:space="preserve">, nos termos do artigo 84.º do CPC.</w:t>
      </w:r>
    </w:p>
    <w:bookmarkEnd w:id="13"/>
    <w:bookmarkStart w:id="14" w:name="v.-protestase-por-prova"/>
    <w:p>
      <w:pPr>
        <w:pStyle w:val="Heading3"/>
      </w:pPr>
      <w:r>
        <w:t xml:space="preserve">V. Protesta‑se por Prova</w:t>
      </w:r>
    </w:p>
    <w:p>
      <w:pPr>
        <w:pStyle w:val="FirstParagraph"/>
      </w:pPr>
      <w:r>
        <w:t xml:space="preserve">O requerente protesta pela produção de todas as provas admitidas em direito, designadamente</w:t>
      </w:r>
      <w:r>
        <w:t xml:space="preserve"> </w:t>
      </w:r>
      <w:r>
        <w:rPr>
          <w:b/>
          <w:bCs/>
        </w:rPr>
        <w:t xml:space="preserve">prova testemunhal, pericial e documental</w:t>
      </w:r>
      <w:r>
        <w:t xml:space="preserve">, que se revelem necessárias ao esclarecimento dos factos.</w:t>
      </w:r>
    </w:p>
    <w:bookmarkEnd w:id="14"/>
    <w:bookmarkStart w:id="15" w:name="vi.-termos-em-que"/>
    <w:p>
      <w:pPr>
        <w:pStyle w:val="Heading3"/>
      </w:pPr>
      <w:r>
        <w:t xml:space="preserve">VI. Termos em que,</w:t>
      </w:r>
    </w:p>
    <w:p>
      <w:pPr>
        <w:pStyle w:val="FirstParagraph"/>
      </w:pPr>
      <w:r>
        <w:t xml:space="preserve">Pede deferimento.</w:t>
      </w:r>
    </w:p>
    <w:p>
      <w:pPr>
        <w:pStyle w:val="BodyText"/>
      </w:pPr>
      <w:r>
        <w:t xml:space="preserve">Lisboa, 20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Luís Costa</w:t>
      </w:r>
      <w:r>
        <w:br/>
      </w:r>
      <w:r>
        <w:t xml:space="preserve">OAB/​Lisboa 12345</w:t>
      </w:r>
    </w:p>
    <w:p>
      <w:pPr>
        <w:pStyle w:val="BodyText"/>
      </w:pPr>
      <w:r>
        <w:rPr>
          <w:b/>
          <w:bCs/>
        </w:rPr>
        <w:t xml:space="preserve">Dra. Sofia Almeida</w:t>
      </w:r>
      <w:r>
        <w:br/>
      </w:r>
      <w:r>
        <w:t xml:space="preserve">OAB/​Lisboa 67890</w:t>
      </w:r>
    </w:p>
    <w:p>
      <w:pPr>
        <w:pStyle w:val="BodyText"/>
      </w:pPr>
      <w:r>
        <w:rPr>
          <w:i/>
          <w:iCs/>
        </w:rPr>
        <w:t xml:space="preserve">Advogados do Requerente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Observação:</w:t>
      </w:r>
      <w:r>
        <w:t xml:space="preserve"> </w:t>
      </w:r>
      <w:r>
        <w:t xml:space="preserve">O presente requerimento será apresentado em cópia dupla, sendo uma entregue ao tribunal e a outra remetida, por via registada, à Associação Casa da Juventude, Lda., com aviso de receção.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